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5607F4">
      <w:pPr>
        <w:jc w:val="center"/>
      </w:pPr>
      <w:r>
        <w:t>Culture and Semiotics</w:t>
      </w:r>
    </w:p>
    <w:p w:rsidR="000B2B03" w:rsidRDefault="000B2B03" w:rsidP="005607F4">
      <w:pPr>
        <w:jc w:val="center"/>
      </w:pPr>
      <w:r>
        <w:t>Student’s Name</w:t>
      </w:r>
    </w:p>
    <w:p w:rsidR="000B2B03" w:rsidRDefault="000B2B03" w:rsidP="005607F4">
      <w:pPr>
        <w:jc w:val="center"/>
      </w:pPr>
      <w:r>
        <w:t>Institutional Affiliation</w:t>
      </w:r>
    </w:p>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5607F4">
      <w:pPr>
        <w:jc w:val="center"/>
      </w:pPr>
    </w:p>
    <w:p w:rsidR="000B2B03" w:rsidRDefault="000B2B03" w:rsidP="00C17B48"/>
    <w:p w:rsidR="00CD6190" w:rsidRDefault="00CD6190" w:rsidP="00CD6190">
      <w:pPr>
        <w:jc w:val="center"/>
      </w:pPr>
      <w:r>
        <w:lastRenderedPageBreak/>
        <w:t>Lotman’s Conception of Culture</w:t>
      </w:r>
    </w:p>
    <w:p w:rsidR="00CD6190" w:rsidRDefault="00CD6190" w:rsidP="00CD6190">
      <w:pPr>
        <w:ind w:firstLine="720"/>
      </w:pPr>
      <w:r>
        <w:t xml:space="preserve">Semiotics is the scientific study of signs as well as cultural linguistics, and it majorly involves some school of thoughts. This is precisely what Lotman, the founder of Cultural Semiotics in the sixties does, as far as his scholarly life is concerned. He started off as a historian, of which he had a lot in store concerning the Russian literature, and he was so good at it. Later on, a disconnection emerged because he finally landed in semiotics, which has no connection with </w:t>
      </w:r>
      <w:r>
        <w:t>the literature side of history.</w:t>
      </w:r>
    </w:p>
    <w:p w:rsidR="00CD6190" w:rsidRDefault="00CD6190" w:rsidP="00CD6190">
      <w:pPr>
        <w:ind w:firstLine="720"/>
      </w:pPr>
      <w:r>
        <w:t>During his young, old scholarly days, he sailed through a lot of systems that enabled him to finally land on to the topnotch position as the head of the semiotics. He first started as a university lecturer at the University of Tettu in Russia, as a historical linguistic expert. He eventually got interested in Philolography which is closely connected to Biography, and also how to locate catalogs as well as lost documents or manuscripts. He paid much interest in the way by which social thoughts and societal history line contribute to his linguistics and the sign structure. He wanted to show the importance of social makeup through its philosophical and historical overview. His main objective was to create a positive and long-lasting impact of character traits in a more appealing way, to isolate ideologies or fiction from quality research methodologies (Deltcheva &amp; Vlasov, 1996). His interpretation of views connected both the author and the text into a supraindividual sphere of homogenous thoughts. This aspect enabled the reader to connect the author and the text, to bring an element of common thought, which is paramount.</w:t>
      </w:r>
    </w:p>
    <w:p w:rsidR="00CD6190" w:rsidRDefault="00CD6190" w:rsidP="00CD6190">
      <w:pPr>
        <w:ind w:firstLine="720"/>
      </w:pPr>
      <w:r>
        <w:t xml:space="preserve">He later joined the Semiotics in the early sixties, of which he focused more on cultural semiotics and ignored the aspect of philology. He wanted to bring on board a more unified and descriptive metalanguage to help with different humanistic approaches. Lotman wanted to create </w:t>
      </w:r>
      <w:r>
        <w:lastRenderedPageBreak/>
        <w:t xml:space="preserve">a common structural linguistic ground that will help in shaping up the metasemiotic structures. Lotman worked so well with other scholars in ensuring there is proper frame work that can be used to shape </w:t>
      </w:r>
      <w:r>
        <w:t>up proper linguistic needs</w:t>
      </w:r>
      <w:r>
        <w:t>.</w:t>
      </w:r>
    </w:p>
    <w:p w:rsidR="00CD6190" w:rsidRDefault="00CD6190" w:rsidP="00CD6190">
      <w:pPr>
        <w:ind w:firstLine="720"/>
      </w:pPr>
      <w:r>
        <w:t xml:space="preserve">From the text or the work was written, it is evident that the author disconnects from the text and the reader instead connects with the texts. This is because the reader gets a flow of thoughts from the time the story started, and this is not the aim of the author, it is just how the reader decides to understand the concept. The author has “died” because it is the reader who directs the flow of the story, how he wants it to be, or how he grasps a certain line that maybe the author did not want it to be perceived that way. Also, on the other hand, the author can connect more with the text than with the way the text connects with the reader. The beauty of a story line is to make it unpredictable </w:t>
      </w:r>
      <w:r>
        <w:t>whatsoever;</w:t>
      </w:r>
      <w:r>
        <w:t xml:space="preserve"> this brings the urge of the reader to find out more, hence ending up reading further.</w:t>
      </w:r>
    </w:p>
    <w:p w:rsidR="00CD6190" w:rsidRDefault="00CD6190" w:rsidP="00CD6190">
      <w:pPr>
        <w:ind w:firstLine="720"/>
      </w:pPr>
      <w:r>
        <w:t>From the storyline, it is evident that the reader who is born is the one who wants to speculate more and the one whose idea flows hand in hand with the author. In short, the reader gets more insight into the philosophical and cultural semiotics; it can be more than that of which the author has figured it out (Mell, Howard &amp; Miller, 2003). Since the reader can visualize what is happening in his mind, he gets the freedom to think out of the box as far as the Decembrist movement par the storyline is concerned. Lotman continued with his work, till his death but his work was enough to sustain the entire team. A lot of scholars referred to his work during research, because of the expertise that he put in his pieces.</w:t>
      </w:r>
    </w:p>
    <w:p w:rsidR="00F02A0B" w:rsidRDefault="00CD6190" w:rsidP="00CD6190">
      <w:r>
        <w:t xml:space="preserve">From the above point of view it is evident that the reader can decide to reconnect with the text, but not with the author. The author can have the ability also to wind the flow of the story, but </w:t>
      </w:r>
      <w:r>
        <w:lastRenderedPageBreak/>
        <w:t>that only depends on the mindset of the reader. A reader can as well decide to kill the author and flow with the text line, hence making the reader louder.</w:t>
      </w:r>
    </w:p>
    <w:p w:rsidR="00F02A0B" w:rsidRDefault="00F02A0B" w:rsidP="003F4D24">
      <w:pPr>
        <w:ind w:firstLine="720"/>
      </w:pPr>
    </w:p>
    <w:p w:rsidR="00F02A0B" w:rsidRDefault="00F02A0B" w:rsidP="003F4D24">
      <w:pPr>
        <w:ind w:firstLine="720"/>
      </w:pPr>
    </w:p>
    <w:p w:rsidR="00F02A0B" w:rsidRDefault="00F02A0B" w:rsidP="003F4D24">
      <w:pPr>
        <w:ind w:firstLine="720"/>
      </w:pPr>
    </w:p>
    <w:p w:rsidR="00F02A0B" w:rsidRDefault="00F02A0B" w:rsidP="003F4D24">
      <w:pPr>
        <w:ind w:firstLine="720"/>
      </w:pPr>
    </w:p>
    <w:p w:rsidR="00F02A0B" w:rsidRDefault="00F02A0B" w:rsidP="003F4D24">
      <w:pPr>
        <w:ind w:firstLine="720"/>
      </w:pPr>
    </w:p>
    <w:p w:rsidR="00651D5B" w:rsidRDefault="00651D5B" w:rsidP="003F4D24">
      <w:pPr>
        <w:ind w:firstLine="720"/>
      </w:pPr>
    </w:p>
    <w:p w:rsidR="00651D5B" w:rsidRDefault="00651D5B" w:rsidP="003F4D24">
      <w:pPr>
        <w:ind w:firstLine="720"/>
      </w:pPr>
    </w:p>
    <w:p w:rsidR="006D4577" w:rsidRDefault="006D4577" w:rsidP="003F4D24">
      <w:pPr>
        <w:ind w:firstLine="720"/>
      </w:pPr>
    </w:p>
    <w:p w:rsidR="006D4577" w:rsidRDefault="006D4577" w:rsidP="003F4D24">
      <w:pPr>
        <w:ind w:firstLine="720"/>
      </w:pPr>
    </w:p>
    <w:p w:rsidR="006D4577" w:rsidRDefault="006D4577" w:rsidP="003F4D24">
      <w:pPr>
        <w:ind w:firstLine="720"/>
      </w:pPr>
    </w:p>
    <w:p w:rsidR="006D4577" w:rsidRDefault="006D4577" w:rsidP="003F4D24">
      <w:pPr>
        <w:ind w:firstLine="720"/>
      </w:pPr>
    </w:p>
    <w:p w:rsidR="006D4577" w:rsidRDefault="006D4577" w:rsidP="003F4D24">
      <w:pPr>
        <w:ind w:firstLine="720"/>
      </w:pPr>
    </w:p>
    <w:p w:rsidR="006D4577" w:rsidRDefault="006D4577" w:rsidP="003F4D24">
      <w:pPr>
        <w:ind w:firstLine="720"/>
      </w:pPr>
    </w:p>
    <w:p w:rsidR="006D4577" w:rsidRDefault="006D4577" w:rsidP="003F4D24">
      <w:pPr>
        <w:ind w:firstLine="720"/>
      </w:pPr>
    </w:p>
    <w:p w:rsidR="006D4577" w:rsidRDefault="006D4577" w:rsidP="003F4D24">
      <w:pPr>
        <w:ind w:firstLine="720"/>
      </w:pPr>
    </w:p>
    <w:p w:rsidR="00CD6190" w:rsidRDefault="00CD6190" w:rsidP="003F4D24">
      <w:pPr>
        <w:ind w:firstLine="720"/>
      </w:pPr>
      <w:bookmarkStart w:id="0" w:name="_GoBack"/>
      <w:bookmarkEnd w:id="0"/>
    </w:p>
    <w:p w:rsidR="006D4577" w:rsidRDefault="006D4577" w:rsidP="00C17B48"/>
    <w:p w:rsidR="006D4577" w:rsidRDefault="006D4577" w:rsidP="006D4577">
      <w:pPr>
        <w:ind w:firstLine="720"/>
        <w:jc w:val="center"/>
      </w:pPr>
      <w:r>
        <w:lastRenderedPageBreak/>
        <w:t>References</w:t>
      </w:r>
    </w:p>
    <w:p w:rsidR="006D4577" w:rsidRPr="00AB5957" w:rsidRDefault="00FC6FBD" w:rsidP="00AB5957">
      <w:pPr>
        <w:ind w:left="720" w:hanging="720"/>
        <w:rPr>
          <w:rFonts w:cs="Times New Roman"/>
          <w:color w:val="222222"/>
          <w:szCs w:val="24"/>
          <w:shd w:val="clear" w:color="auto" w:fill="FFFFFF"/>
        </w:rPr>
      </w:pPr>
      <w:r w:rsidRPr="00AB5957">
        <w:rPr>
          <w:rFonts w:cs="Times New Roman"/>
          <w:color w:val="222222"/>
          <w:szCs w:val="24"/>
          <w:shd w:val="clear" w:color="auto" w:fill="FFFFFF"/>
        </w:rPr>
        <w:t xml:space="preserve">Mell, J. C., Howard, S. M., &amp; Miller, B. L. (2003). Art and the brain The influence of </w:t>
      </w:r>
      <w:r w:rsidR="00F24A59" w:rsidRPr="00AB5957">
        <w:rPr>
          <w:rFonts w:cs="Times New Roman"/>
          <w:color w:val="222222"/>
          <w:szCs w:val="24"/>
          <w:shd w:val="clear" w:color="auto" w:fill="FFFFFF"/>
        </w:rPr>
        <w:t>front temporal</w:t>
      </w:r>
      <w:r w:rsidRPr="00AB5957">
        <w:rPr>
          <w:rFonts w:cs="Times New Roman"/>
          <w:color w:val="222222"/>
          <w:szCs w:val="24"/>
          <w:shd w:val="clear" w:color="auto" w:fill="FFFFFF"/>
        </w:rPr>
        <w:t xml:space="preserve"> dementia on an accomplished artist. </w:t>
      </w:r>
      <w:r w:rsidRPr="00AB5957">
        <w:rPr>
          <w:rFonts w:cs="Times New Roman"/>
          <w:i/>
          <w:iCs/>
          <w:color w:val="222222"/>
          <w:szCs w:val="24"/>
          <w:shd w:val="clear" w:color="auto" w:fill="FFFFFF"/>
        </w:rPr>
        <w:t>Neurology</w:t>
      </w:r>
      <w:r w:rsidRPr="00AB5957">
        <w:rPr>
          <w:rFonts w:cs="Times New Roman"/>
          <w:color w:val="222222"/>
          <w:szCs w:val="24"/>
          <w:shd w:val="clear" w:color="auto" w:fill="FFFFFF"/>
        </w:rPr>
        <w:t>, </w:t>
      </w:r>
      <w:r w:rsidRPr="00AB5957">
        <w:rPr>
          <w:rFonts w:cs="Times New Roman"/>
          <w:i/>
          <w:iCs/>
          <w:color w:val="222222"/>
          <w:szCs w:val="24"/>
          <w:shd w:val="clear" w:color="auto" w:fill="FFFFFF"/>
        </w:rPr>
        <w:t>60</w:t>
      </w:r>
      <w:r w:rsidRPr="00AB5957">
        <w:rPr>
          <w:rFonts w:cs="Times New Roman"/>
          <w:color w:val="222222"/>
          <w:szCs w:val="24"/>
          <w:shd w:val="clear" w:color="auto" w:fill="FFFFFF"/>
        </w:rPr>
        <w:t>(10), 1707-1710.</w:t>
      </w:r>
    </w:p>
    <w:p w:rsidR="00FC6FBD" w:rsidRPr="00AB5957" w:rsidRDefault="00AB5957" w:rsidP="00AB5957">
      <w:pPr>
        <w:ind w:left="720" w:hanging="720"/>
        <w:rPr>
          <w:rFonts w:cs="Times New Roman"/>
          <w:color w:val="222222"/>
          <w:szCs w:val="24"/>
          <w:shd w:val="clear" w:color="auto" w:fill="FFFFFF"/>
        </w:rPr>
      </w:pPr>
      <w:r w:rsidRPr="00AB5957">
        <w:rPr>
          <w:rFonts w:cs="Times New Roman"/>
          <w:color w:val="222222"/>
          <w:szCs w:val="24"/>
          <w:shd w:val="clear" w:color="auto" w:fill="FFFFFF"/>
        </w:rPr>
        <w:t>Deltcheva, R., &amp; Vlasov, E. (1996). Lotman's culture and explosion: A shift in the paradigm of the semiotics of culture.</w:t>
      </w:r>
    </w:p>
    <w:p w:rsidR="00FC6FBD" w:rsidRDefault="00FC6FBD" w:rsidP="00FC6FBD">
      <w:pPr>
        <w:ind w:firstLine="720"/>
      </w:pPr>
    </w:p>
    <w:sectPr w:rsidR="00FC6FBD" w:rsidSect="000B2B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139" w:rsidRDefault="00C94139" w:rsidP="000B2B03">
      <w:pPr>
        <w:spacing w:after="0" w:line="240" w:lineRule="auto"/>
      </w:pPr>
      <w:r>
        <w:separator/>
      </w:r>
    </w:p>
  </w:endnote>
  <w:endnote w:type="continuationSeparator" w:id="0">
    <w:p w:rsidR="00C94139" w:rsidRDefault="00C94139" w:rsidP="000B2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38" w:rsidRDefault="00A307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38" w:rsidRDefault="00A307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38" w:rsidRDefault="00A307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139" w:rsidRDefault="00C94139" w:rsidP="000B2B03">
      <w:pPr>
        <w:spacing w:after="0" w:line="240" w:lineRule="auto"/>
      </w:pPr>
      <w:r>
        <w:separator/>
      </w:r>
    </w:p>
  </w:footnote>
  <w:footnote w:type="continuationSeparator" w:id="0">
    <w:p w:rsidR="00C94139" w:rsidRDefault="00C94139" w:rsidP="000B2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38" w:rsidRDefault="00A307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3341253"/>
      <w:docPartObj>
        <w:docPartGallery w:val="Page Numbers (Top of Page)"/>
        <w:docPartUnique/>
      </w:docPartObj>
    </w:sdtPr>
    <w:sdtEndPr>
      <w:rPr>
        <w:noProof/>
      </w:rPr>
    </w:sdtEndPr>
    <w:sdtContent>
      <w:p w:rsidR="000B2B03" w:rsidRDefault="000B2B03">
        <w:pPr>
          <w:pStyle w:val="Header"/>
          <w:jc w:val="right"/>
        </w:pPr>
        <w:r>
          <w:t xml:space="preserve">DEATH OF AUTHOR                                                                                                                    </w:t>
        </w:r>
        <w:r>
          <w:fldChar w:fldCharType="begin"/>
        </w:r>
        <w:r>
          <w:instrText xml:space="preserve"> PAGE   \* MERGEFORMAT </w:instrText>
        </w:r>
        <w:r>
          <w:fldChar w:fldCharType="separate"/>
        </w:r>
        <w:r w:rsidR="00CD6190">
          <w:rPr>
            <w:noProof/>
          </w:rPr>
          <w:t>5</w:t>
        </w:r>
        <w:r>
          <w:rPr>
            <w:noProof/>
          </w:rPr>
          <w:fldChar w:fldCharType="end"/>
        </w:r>
      </w:p>
    </w:sdtContent>
  </w:sdt>
  <w:p w:rsidR="000B2B03" w:rsidRDefault="000B2B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03" w:rsidRDefault="000B2B03">
    <w:pPr>
      <w:pStyle w:val="Header"/>
      <w:jc w:val="right"/>
    </w:pPr>
    <w:r>
      <w:t xml:space="preserve">Running page: DEATH OF AUTHOR                                                                                            </w:t>
    </w:r>
    <w:sdt>
      <w:sdtPr>
        <w:id w:val="-14607883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6190">
          <w:rPr>
            <w:noProof/>
          </w:rPr>
          <w:t>1</w:t>
        </w:r>
        <w:r>
          <w:rPr>
            <w:noProof/>
          </w:rPr>
          <w:fldChar w:fldCharType="end"/>
        </w:r>
      </w:sdtContent>
    </w:sdt>
  </w:p>
  <w:p w:rsidR="000B2B03" w:rsidRDefault="000B2B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7F4"/>
    <w:rsid w:val="000B2B03"/>
    <w:rsid w:val="000F3C14"/>
    <w:rsid w:val="00131834"/>
    <w:rsid w:val="001D1D7B"/>
    <w:rsid w:val="003A16AD"/>
    <w:rsid w:val="003F4D24"/>
    <w:rsid w:val="005607F4"/>
    <w:rsid w:val="005648FD"/>
    <w:rsid w:val="00651D5B"/>
    <w:rsid w:val="00653EA4"/>
    <w:rsid w:val="006D4577"/>
    <w:rsid w:val="007C4B00"/>
    <w:rsid w:val="008B493C"/>
    <w:rsid w:val="00916F36"/>
    <w:rsid w:val="00A03976"/>
    <w:rsid w:val="00A30738"/>
    <w:rsid w:val="00A70858"/>
    <w:rsid w:val="00AB5957"/>
    <w:rsid w:val="00AF3F3F"/>
    <w:rsid w:val="00B95168"/>
    <w:rsid w:val="00C17B48"/>
    <w:rsid w:val="00C510EF"/>
    <w:rsid w:val="00C94139"/>
    <w:rsid w:val="00CD6190"/>
    <w:rsid w:val="00E61EF7"/>
    <w:rsid w:val="00F02A0B"/>
    <w:rsid w:val="00F24A59"/>
    <w:rsid w:val="00FC6FBD"/>
    <w:rsid w:val="00FE5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B03"/>
  </w:style>
  <w:style w:type="paragraph" w:styleId="Footer">
    <w:name w:val="footer"/>
    <w:basedOn w:val="Normal"/>
    <w:link w:val="FooterChar"/>
    <w:uiPriority w:val="99"/>
    <w:unhideWhenUsed/>
    <w:rsid w:val="000B2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B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B03"/>
  </w:style>
  <w:style w:type="paragraph" w:styleId="Footer">
    <w:name w:val="footer"/>
    <w:basedOn w:val="Normal"/>
    <w:link w:val="FooterChar"/>
    <w:uiPriority w:val="99"/>
    <w:unhideWhenUsed/>
    <w:rsid w:val="000B2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2018-08-07T02:46:00Z</dcterms:created>
  <dcterms:modified xsi:type="dcterms:W3CDTF">2018-08-07T02:46:00Z</dcterms:modified>
</cp:coreProperties>
</file>